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933A" w14:textId="77777777" w:rsidR="00B27CA5" w:rsidRDefault="00B27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B27CA5" w14:paraId="001E7F89" w14:textId="77777777">
        <w:trPr>
          <w:trHeight w:val="180"/>
        </w:trPr>
        <w:tc>
          <w:tcPr>
            <w:tcW w:w="2511" w:type="dxa"/>
          </w:tcPr>
          <w:p w14:paraId="01D3E5C6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39229E45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  <w:tr w:rsidR="00B27CA5" w14:paraId="3752B9B0" w14:textId="77777777">
        <w:tc>
          <w:tcPr>
            <w:tcW w:w="2511" w:type="dxa"/>
          </w:tcPr>
          <w:p w14:paraId="2D0F534F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3FFBBB71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9. 10. 2020</w:t>
            </w:r>
          </w:p>
        </w:tc>
      </w:tr>
      <w:tr w:rsidR="00B27CA5" w14:paraId="1A8877FF" w14:textId="77777777">
        <w:tc>
          <w:tcPr>
            <w:tcW w:w="2511" w:type="dxa"/>
          </w:tcPr>
          <w:p w14:paraId="7BAA7465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55403044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</w:tr>
      <w:tr w:rsidR="00B27CA5" w14:paraId="0F02916D" w14:textId="77777777">
        <w:tc>
          <w:tcPr>
            <w:tcW w:w="2511" w:type="dxa"/>
          </w:tcPr>
          <w:p w14:paraId="00703C92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6CD052BA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dňa 9. 10. 2020</w:t>
            </w:r>
          </w:p>
        </w:tc>
      </w:tr>
      <w:tr w:rsidR="00B27CA5" w14:paraId="12891DE2" w14:textId="77777777">
        <w:tc>
          <w:tcPr>
            <w:tcW w:w="2511" w:type="dxa"/>
          </w:tcPr>
          <w:p w14:paraId="7091B82B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215344F5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Veronika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Mrňová</w:t>
            </w:r>
            <w:proofErr w:type="spellEnd"/>
          </w:p>
        </w:tc>
      </w:tr>
    </w:tbl>
    <w:p w14:paraId="314C2764" w14:textId="77777777" w:rsidR="00B27CA5" w:rsidRDefault="00B27CA5">
      <w:pPr>
        <w:spacing w:after="0" w:line="240" w:lineRule="auto"/>
      </w:pPr>
    </w:p>
    <w:p w14:paraId="518FFB52" w14:textId="77777777" w:rsidR="00B27CA5" w:rsidRDefault="00B27CA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1BA96A62" w14:textId="77777777" w:rsidR="00B27CA5" w:rsidRDefault="00B27CA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4D62F32A" w14:textId="77777777" w:rsidR="00B27CA5" w:rsidRDefault="00B27CA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817699F" w14:textId="77777777" w:rsidR="00B27CA5" w:rsidRDefault="00B27CA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53BF105" w14:textId="77777777" w:rsidR="00B27CA5" w:rsidRDefault="00B27CA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479A3B1C" w14:textId="77777777" w:rsidR="00B27CA5" w:rsidRDefault="008345F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Interná smernica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RpV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č. 03</w:t>
      </w:r>
    </w:p>
    <w:p w14:paraId="02DA8967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OBSAHOVÁ NÁPLŇ VODCOVSKEJ LESNEJ ŠKOLY</w:t>
      </w:r>
    </w:p>
    <w:p w14:paraId="14D5DAEF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</w:t>
      </w:r>
    </w:p>
    <w:p w14:paraId="6B3CC43D" w14:textId="77777777" w:rsidR="00B27CA5" w:rsidRDefault="008345FB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KOMPETENČNÝ PROFIL PRE HODNOSŤ VODCA</w:t>
      </w:r>
      <w: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B27CA5" w14:paraId="0224F05F" w14:textId="77777777">
        <w:tc>
          <w:tcPr>
            <w:tcW w:w="9212" w:type="dxa"/>
            <w:gridSpan w:val="4"/>
          </w:tcPr>
          <w:p w14:paraId="15413899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B27CA5" w14:paraId="07CD170D" w14:textId="77777777">
        <w:trPr>
          <w:trHeight w:val="260"/>
        </w:trPr>
        <w:tc>
          <w:tcPr>
            <w:tcW w:w="1809" w:type="dxa"/>
            <w:vAlign w:val="center"/>
          </w:tcPr>
          <w:p w14:paraId="5E26151F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76053155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40429060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54A98E83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</w:tr>
      <w:tr w:rsidR="00B27CA5" w14:paraId="2BBB79D3" w14:textId="77777777">
        <w:trPr>
          <w:trHeight w:val="260"/>
        </w:trPr>
        <w:tc>
          <w:tcPr>
            <w:tcW w:w="1809" w:type="dxa"/>
          </w:tcPr>
          <w:p w14:paraId="61FA10EE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5168780A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FD201F5" w14:textId="143CDCE1" w:rsidR="00B27CA5" w:rsidRDefault="008C313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725" w:type="dxa"/>
          </w:tcPr>
          <w:p w14:paraId="26A1E42E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2EA5EE6A" w14:textId="77777777">
        <w:trPr>
          <w:trHeight w:val="260"/>
        </w:trPr>
        <w:tc>
          <w:tcPr>
            <w:tcW w:w="1809" w:type="dxa"/>
          </w:tcPr>
          <w:p w14:paraId="523D6792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18BB36AA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612CDD70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1380F0C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Veronika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Mrňová</w:t>
            </w:r>
            <w:proofErr w:type="spellEnd"/>
          </w:p>
        </w:tc>
      </w:tr>
      <w:tr w:rsidR="00B27CA5" w14:paraId="1F386184" w14:textId="77777777">
        <w:trPr>
          <w:trHeight w:val="260"/>
        </w:trPr>
        <w:tc>
          <w:tcPr>
            <w:tcW w:w="1809" w:type="dxa"/>
          </w:tcPr>
          <w:p w14:paraId="2EB8350C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6BD7CD59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0EDADD1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493206B6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1F844368" w14:textId="77777777">
        <w:trPr>
          <w:trHeight w:val="260"/>
        </w:trPr>
        <w:tc>
          <w:tcPr>
            <w:tcW w:w="1809" w:type="dxa"/>
          </w:tcPr>
          <w:p w14:paraId="5101BFEC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B2C98B3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8EAEE50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37C51A07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008C91EF" w14:textId="77777777">
        <w:trPr>
          <w:trHeight w:val="260"/>
        </w:trPr>
        <w:tc>
          <w:tcPr>
            <w:tcW w:w="1809" w:type="dxa"/>
          </w:tcPr>
          <w:p w14:paraId="301A9D7C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8187A70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1DCCBE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48445563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C71E92" w14:textId="77777777" w:rsidR="00B27CA5" w:rsidRDefault="00B27CA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B27CA5" w14:paraId="5D4FBE2A" w14:textId="77777777">
        <w:tc>
          <w:tcPr>
            <w:tcW w:w="9212" w:type="dxa"/>
            <w:gridSpan w:val="3"/>
          </w:tcPr>
          <w:p w14:paraId="10EC88FB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Zoznam príloh</w:t>
            </w:r>
          </w:p>
        </w:tc>
      </w:tr>
      <w:tr w:rsidR="00B27CA5" w14:paraId="5360B058" w14:textId="77777777">
        <w:trPr>
          <w:trHeight w:val="260"/>
        </w:trPr>
        <w:tc>
          <w:tcPr>
            <w:tcW w:w="1809" w:type="dxa"/>
            <w:vAlign w:val="center"/>
          </w:tcPr>
          <w:p w14:paraId="573F438F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310FB57E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42B275DE" w14:textId="77777777" w:rsidR="00B27CA5" w:rsidRDefault="008345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strán</w:t>
            </w:r>
          </w:p>
        </w:tc>
      </w:tr>
      <w:tr w:rsidR="00B27CA5" w14:paraId="4BDF18D9" w14:textId="77777777">
        <w:trPr>
          <w:trHeight w:val="260"/>
        </w:trPr>
        <w:tc>
          <w:tcPr>
            <w:tcW w:w="1809" w:type="dxa"/>
            <w:vAlign w:val="center"/>
          </w:tcPr>
          <w:p w14:paraId="3F5A12FC" w14:textId="77777777" w:rsidR="00B27CA5" w:rsidRDefault="008345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7D97206A" w14:textId="77777777" w:rsidR="00B27CA5" w:rsidRDefault="008345F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Obsahové náplne a kompetenčná profil pre hodnosť vodca</w:t>
            </w:r>
          </w:p>
        </w:tc>
        <w:tc>
          <w:tcPr>
            <w:tcW w:w="1591" w:type="dxa"/>
            <w:vAlign w:val="center"/>
          </w:tcPr>
          <w:p w14:paraId="29C37EAA" w14:textId="6A9A1F78" w:rsidR="00B27CA5" w:rsidRDefault="008345F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A641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B27CA5" w14:paraId="6A1C59EA" w14:textId="77777777">
        <w:trPr>
          <w:trHeight w:val="260"/>
        </w:trPr>
        <w:tc>
          <w:tcPr>
            <w:tcW w:w="1809" w:type="dxa"/>
            <w:vAlign w:val="center"/>
          </w:tcPr>
          <w:p w14:paraId="48C9158C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54C7818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41A82190" w14:textId="77777777" w:rsidR="00B27CA5" w:rsidRDefault="00B27CA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5C82FBAB" w14:textId="77777777">
        <w:trPr>
          <w:trHeight w:val="260"/>
        </w:trPr>
        <w:tc>
          <w:tcPr>
            <w:tcW w:w="1809" w:type="dxa"/>
          </w:tcPr>
          <w:p w14:paraId="5CB26695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31656A4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B06BCBA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3A6B9A74" w14:textId="77777777">
        <w:trPr>
          <w:trHeight w:val="260"/>
        </w:trPr>
        <w:tc>
          <w:tcPr>
            <w:tcW w:w="1809" w:type="dxa"/>
          </w:tcPr>
          <w:p w14:paraId="27FDAFA1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478B87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5C0A44B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7CA5" w14:paraId="625611BD" w14:textId="77777777">
        <w:trPr>
          <w:trHeight w:val="260"/>
        </w:trPr>
        <w:tc>
          <w:tcPr>
            <w:tcW w:w="1809" w:type="dxa"/>
          </w:tcPr>
          <w:p w14:paraId="4D111960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4074B6C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6E53604" w14:textId="77777777" w:rsidR="00B27CA5" w:rsidRDefault="00B27C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C7FB1C" w14:textId="77777777" w:rsidR="00B27CA5" w:rsidRDefault="008345F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57F90B48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PREAMBULA</w:t>
      </w:r>
    </w:p>
    <w:p w14:paraId="0832A625" w14:textId="77777777" w:rsidR="00B27CA5" w:rsidRDefault="00B27CA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A1C9CE1" w14:textId="352CC10D" w:rsidR="00B27CA5" w:rsidRDefault="008345F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Rada pre vzdelávanie (ďalej len „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</w:t>
      </w:r>
      <w:r w:rsidR="00A630F9"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z w:val="20"/>
          <w:szCs w:val="20"/>
        </w:rPr>
        <w:t xml:space="preserve"> (ďalej len „IS“) – Obsahová náplň vodcovskej lesnej školy (ďalej len „VLŠ”) a kompetenčný profil pre hodnosť vodca.</w:t>
      </w:r>
    </w:p>
    <w:p w14:paraId="56BB297F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33CB18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ÚVODNÉ USTANOVENIA</w:t>
      </w:r>
    </w:p>
    <w:p w14:paraId="0F034F62" w14:textId="77777777" w:rsidR="00B27CA5" w:rsidRDefault="00B27CA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091927" w14:textId="77777777" w:rsidR="00B27CA5" w:rsidRDefault="008345F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Účel vydania IS</w:t>
      </w:r>
    </w:p>
    <w:p w14:paraId="3116A9A3" w14:textId="77777777" w:rsidR="00B27CA5" w:rsidRDefault="00834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Cieľom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vydania t</w:t>
      </w:r>
      <w:r>
        <w:rPr>
          <w:rFonts w:ascii="Arial" w:eastAsia="Arial" w:hAnsi="Arial" w:cs="Arial"/>
          <w:sz w:val="20"/>
          <w:szCs w:val="20"/>
        </w:rPr>
        <w:t>ejto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 zjednotenie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zjednotenie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obsahových nápln</w:t>
      </w:r>
      <w:r>
        <w:rPr>
          <w:rFonts w:ascii="Arial" w:eastAsia="Arial" w:hAnsi="Arial" w:cs="Arial"/>
          <w:sz w:val="20"/>
          <w:szCs w:val="20"/>
        </w:rPr>
        <w:t xml:space="preserve">í a kompetenčného profilu pre hodnosť vodca. </w:t>
      </w:r>
    </w:p>
    <w:p w14:paraId="4D769C18" w14:textId="77777777" w:rsidR="00B27CA5" w:rsidRDefault="00B27CA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A4F224E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VŠEOBECNÉ A OSOBITNÉ USTANOVENIA</w:t>
      </w:r>
    </w:p>
    <w:p w14:paraId="28E3DF28" w14:textId="77777777" w:rsidR="00B27CA5" w:rsidRDefault="00B27CA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8F4CCAF" w14:textId="77777777" w:rsidR="00B27CA5" w:rsidRDefault="008345F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Časové dotácie tém</w:t>
      </w:r>
    </w:p>
    <w:p w14:paraId="725D3687" w14:textId="77777777" w:rsidR="00B27CA5" w:rsidRDefault="008345FB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Uvedené časové dotácie pri témach sú minimálne. Vzdelávací tím VLŠ si ich môže podľa potreby navýšiť.</w:t>
      </w:r>
    </w:p>
    <w:p w14:paraId="7D01DAE4" w14:textId="77777777" w:rsidR="00B27CA5" w:rsidRDefault="008345FB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Vzdelávací tím pripravuje vzdelávaciu zložku VLŠ podľa nasledujúceho kľúča pre časovú dotáciu:</w:t>
      </w:r>
    </w:p>
    <w:p w14:paraId="4B3754CA" w14:textId="712E3716" w:rsidR="00B27CA5" w:rsidRDefault="008345FB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min. 3</w:t>
      </w:r>
      <w:r w:rsidR="005B02D7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,5 hodín povinných tém obsahovej náplne</w:t>
      </w:r>
    </w:p>
    <w:p w14:paraId="24BC9BE1" w14:textId="77777777" w:rsidR="00B27CA5" w:rsidRDefault="008345FB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min. 4 hodiny povinne voliteľných tém (vzdelávací tím si vyberie z tém, ktoré sú uvedené v prílohe tejto internej smernice alebo podľa vlastných potrieb pripraví tému, ktorú chce zaradiť do povinne voliteľných tém. Tú predloží  predsedovi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doplnenie do prílohy, aby sa tak stala súčasťou ponuky aj pre iné vzdelávacie tímy VLŠ). Povinne voliteľné témy sú prostriedkom na ďalší rozvoj účastníkov VLŠ a zároveň dávajú možnosť vodcovským lesným školám špecializovať sa na konkrétnu oblasť.</w:t>
      </w:r>
    </w:p>
    <w:p w14:paraId="72B4E00D" w14:textId="77777777" w:rsidR="00B27CA5" w:rsidRDefault="00B27CA5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20044058" w14:textId="77777777" w:rsidR="00B27CA5" w:rsidRDefault="008345F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Obsahová náplň vodcovskej lesnej školy a kompetenčný profil jej absolventa</w:t>
      </w:r>
    </w:p>
    <w:p w14:paraId="5E253FEA" w14:textId="77777777" w:rsidR="00B27CA5" w:rsidRDefault="008345FB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Každá téma obsahuje:</w:t>
      </w:r>
    </w:p>
    <w:p w14:paraId="5611ECF1" w14:textId="77777777" w:rsidR="00B27CA5" w:rsidRDefault="008345FB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názov témy</w:t>
      </w:r>
    </w:p>
    <w:p w14:paraId="08BBB9D6" w14:textId="77777777" w:rsidR="00B27CA5" w:rsidRDefault="008345FB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min. časovú dotáciu</w:t>
      </w:r>
    </w:p>
    <w:p w14:paraId="24D509E1" w14:textId="77777777" w:rsidR="00B27CA5" w:rsidRDefault="008345FB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konkrétnu obsahovú náplň</w:t>
      </w:r>
    </w:p>
    <w:p w14:paraId="1BE8CCFD" w14:textId="77777777" w:rsidR="00B27CA5" w:rsidRDefault="008345FB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kompetencie pre danú tému</w:t>
      </w:r>
    </w:p>
    <w:p w14:paraId="4D0CCDFE" w14:textId="77777777" w:rsidR="00B27CA5" w:rsidRDefault="008345FB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spôsob overenia</w:t>
      </w:r>
    </w:p>
    <w:p w14:paraId="7F475912" w14:textId="77777777" w:rsidR="00B27CA5" w:rsidRDefault="008345FB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Obsahové náplne a kompetenčný profil pre hodnosť Vodca sú uvedené v tabuľke Prílohy 1 tohto dokumentu.</w:t>
      </w:r>
    </w:p>
    <w:p w14:paraId="6F30F289" w14:textId="77777777" w:rsidR="00B27CA5" w:rsidRDefault="008345FB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Formulár Potvrdenie o ukončení vodcovskej činnosti, Potvrdenie o ukončení vodcovskej lesnej  školy a Potvrdenie o splnení podmienok účasti na vodcovskej skúške bez absolvovania vodcovskej lesnej školy majú vzdelávacie tímy dostupné v podkladoch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Formuláre zároveň na vyžiadanie posiela tajomník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3D55A4B" w14:textId="77777777" w:rsidR="00B27CA5" w:rsidRDefault="008345FB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Vzdelávací tím VLŠ môže do obsahovej náplne zaradiť aj témy, ktoré sú vhodné a dôležité pre úspešnú prácu vodcu či absolventa v jeho osobnom živote, bez ohľadu na to, či sa budú skúšať alebo nie. </w:t>
      </w:r>
    </w:p>
    <w:p w14:paraId="6AF5D812" w14:textId="77777777" w:rsidR="00B27CA5" w:rsidRDefault="008345FB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Formy overenia sú:</w:t>
      </w:r>
    </w:p>
    <w:p w14:paraId="746F08CC" w14:textId="77777777" w:rsidR="00B27CA5" w:rsidRDefault="008345FB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Odporúčanie tímu - Vzdelávací tím sám určuje spôsob sledovania nadobúdania kompetencie účastníkmi VLŠ: praktické zadanie, diskusia, aktivity, samoštúdium, kladenie otázok počas prednášky a spätná väzba od účastníkov prednášky atď. Nadobudnutie týchto kompetencií  sa potvrdzuje podpísaním Potvrdenia o absolvovaní VLŠ. V prípade účasti na vodcovských skúškach bez absolvovania VLŠ odporúča osoba daná kapitolou 8 OP SLSK.</w:t>
      </w:r>
    </w:p>
    <w:p w14:paraId="62B1676E" w14:textId="77777777" w:rsidR="00B27CA5" w:rsidRDefault="008345FB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Vodcovská činnosť - Kompetencie účastníci nadobúdajú prostredníctvom realizácie vodcovskej činnosti. Nadobudnutie týchto kompetencií sa potvrdzuje podpísaním Potvrdenia o ukončení vodcovskej činnosti kandidáta na vodcovskú skúšku.</w:t>
      </w:r>
    </w:p>
    <w:p w14:paraId="4AD9C166" w14:textId="77777777" w:rsidR="00B27CA5" w:rsidRDefault="008345FB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Skúšky: teoretická otázka/modelová situácia - Nadobudnutie kompetencie sa deklaruje pred skúšobnou komisiou. Konkrétnu formu vodcovskej skúšky určuje kapitola 8 Organizačného poriadku SLSK.</w:t>
      </w:r>
    </w:p>
    <w:p w14:paraId="1EDD491D" w14:textId="77777777" w:rsidR="00B27CA5" w:rsidRDefault="008345FB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Certifikát/potvrdenie o absolvovaní - Kurz 1. pomoci.</w:t>
      </w:r>
    </w:p>
    <w:p w14:paraId="2A4A95F5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67A93B" w14:textId="77777777" w:rsidR="00B27CA5" w:rsidRDefault="008345F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ZÁVEREČNÉ A ZRUŠOVACIE USTANOVENIA</w:t>
      </w:r>
    </w:p>
    <w:p w14:paraId="45D3EC03" w14:textId="77777777" w:rsidR="00B27CA5" w:rsidRDefault="00B27CA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12160A" w14:textId="77777777" w:rsidR="00B27CA5" w:rsidRDefault="008345FB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Táto interná smernica je záväzná pre všetkých členov SLSK.</w:t>
      </w:r>
    </w:p>
    <w:p w14:paraId="46E46D80" w14:textId="77777777" w:rsidR="00B27CA5" w:rsidRDefault="008345FB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Výnimku z konkrétnych bodov môže udeliť 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 tímom VLŠ.</w:t>
      </w:r>
    </w:p>
    <w:p w14:paraId="4449A8AF" w14:textId="77777777" w:rsidR="00B27CA5" w:rsidRDefault="008345FB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Dátumom účinnosti tejto internej smernice ruší predošlá verzia Internej smernice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Obsahová náplň a časová dotácia vodcovskej lesnej školy.</w:t>
      </w:r>
    </w:p>
    <w:p w14:paraId="58D90B9A" w14:textId="77777777" w:rsidR="00B27CA5" w:rsidRDefault="008345F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99EFE78" w14:textId="77777777" w:rsidR="00B27CA5" w:rsidRDefault="008345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Príloha č. 01: Obsahové náplne a kompetenčná profil pre hodnosť vodca</w:t>
      </w:r>
    </w:p>
    <w:p w14:paraId="084D79E4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10" w:type="dxa"/>
        <w:tblInd w:w="-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60"/>
        <w:gridCol w:w="2550"/>
      </w:tblGrid>
      <w:tr w:rsidR="00B27CA5" w14:paraId="6E3F08E0" w14:textId="77777777">
        <w:trPr>
          <w:trHeight w:val="420"/>
        </w:trPr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9D362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Prierezové kompetencie</w:t>
            </w:r>
          </w:p>
        </w:tc>
      </w:tr>
      <w:tr w:rsidR="00B27CA5" w14:paraId="74499C79" w14:textId="77777777">
        <w:trPr>
          <w:trHeight w:val="420"/>
        </w:trPr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47503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Vodca:</w:t>
            </w:r>
          </w:p>
        </w:tc>
      </w:tr>
      <w:tr w:rsidR="00B27CA5" w14:paraId="2A60C398" w14:textId="77777777">
        <w:trPr>
          <w:trHeight w:val="750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4CA7D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Stotožňuje sa s princípmi, poslaním a výchovnou metódou a šíri ich vo svojom okolí.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909FC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B033C32" w14:textId="77777777">
        <w:trPr>
          <w:trHeight w:val="400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C56CA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Správa sa priateľsky a empaticky.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A628A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5C9E7E52" w14:textId="77777777">
        <w:trPr>
          <w:trHeight w:val="400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931F0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sa zapojiť do aktivity a chápe jej význam a dôležitosť.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DB3FC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BDDA288" w14:textId="77777777">
        <w:trPr>
          <w:trHeight w:val="400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0FD56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aplikovať získané vedomosti a zručnosti zo skautskej činnosti v každodennom živote a naopak.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39525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B23379A" w14:textId="77777777">
        <w:trPr>
          <w:trHeight w:val="525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0F912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budovať fungujúce vzťahy v oddiele, zbore a oblasti.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0142F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5D1F3FEA" w14:textId="77777777">
        <w:trPr>
          <w:trHeight w:val="525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8D156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Rešpektuje individualitu iných ľudí.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3812C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082F3387" w14:textId="77777777">
        <w:trPr>
          <w:trHeight w:val="525"/>
        </w:trPr>
        <w:tc>
          <w:tcPr>
            <w:tcW w:w="7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3CB91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Ovláda prvú pomoc min. v rozsahu 8-hodinového kurzu prvej pomoci.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5237C" w14:textId="77777777" w:rsidR="00B27CA5" w:rsidRDefault="008345FB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certifikát</w:t>
            </w:r>
          </w:p>
        </w:tc>
      </w:tr>
    </w:tbl>
    <w:p w14:paraId="0B0C55F1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5AE5C786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AF2D" w14:textId="1BD8A7FD" w:rsidR="00B27CA5" w:rsidRDefault="002A641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8345FB">
              <w:rPr>
                <w:rFonts w:ascii="Arial" w:eastAsia="Arial" w:hAnsi="Arial" w:cs="Arial"/>
                <w:b/>
                <w:sz w:val="20"/>
                <w:szCs w:val="20"/>
              </w:rPr>
              <w:t>sobnosť vodcu a jeho životný štýl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4D20" w14:textId="77777777" w:rsidR="00B27CA5" w:rsidRDefault="0083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48726B6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461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postavenie vodcu v oddiele, zbore a oblasti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6A25F4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povinnosti, oprávnenia a kompetencie vodcu – výchovné, organizačné, vzdelávacie</w:t>
            </w:r>
          </w:p>
          <w:p w14:paraId="2E2D64E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ideálny vodca (skautské a neskautské vzory)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E85E54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správanie sa podľa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roverského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hesla „Slúžim“ (vodca ako vzor)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1B91D4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činovnícky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sľub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5A4C96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budovanie autority a jej nezneužívanie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DCFD02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možnosti ďalšieho rozvoja, napredovania, vzdelávania (nadobudnuté zručnosti v skautingu a vo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leadership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pozícii)</w:t>
            </w:r>
          </w:p>
        </w:tc>
      </w:tr>
      <w:tr w:rsidR="00B27CA5" w14:paraId="5DC28A6B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F71A" w14:textId="77777777" w:rsidR="00B27CA5" w:rsidRDefault="0083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927C" w14:textId="77777777" w:rsidR="00B27CA5" w:rsidRDefault="0083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64453F7B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0FE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Uvedomuje si dôležitú úlohu vodcu v oddiele, zbore a oblasti v rôznych funkciách a pozná ich kompetencie a oprávnenia. Dokáže si z nich vybrať takú, v ktorej sa cíti komfortne.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D884" w14:textId="77777777" w:rsidR="00B27CA5" w:rsidRDefault="0083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657CBE56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3184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Prostredníctvom sebareflexie dokáže zhodnotiť seba samého ako vodcu.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7B01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45384E4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D583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5171EE7C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AD6FA78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4339E86F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4B7A422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C6B7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Komunikácia s verejnosťou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0C8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1C597A5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876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definícia skautingu pre rôzne cieľové skupiny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EF6D56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komunikovanie rozdielov medzi skautingom a inými mládežníckymi organizáciami (Slovenskí branci,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eRko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Domka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...)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E65B49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spoločenské klišé o skautingu a spôsob reakcie 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bobríci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viazanie uzlov, zbieranie odpadu, sedenie pri ohni, hranie sa, chodenie do lesa, polovojenská organizácia, kresťanský spolok, pionieri, sekta...); budovanie pozitívneho imidž skautingu na lokálnej úrovni</w:t>
            </w:r>
          </w:p>
          <w:p w14:paraId="7ECE25D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vystupovanie a správanie sa na verejnosti (vonkajšia úprava - oblečenie, vyjadrovanie)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58FE97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aktuálne stanovisko SLSK (N-SLSK) k účasti na obč. iniciatívach, pochodoch a pod.; kto ho vyhlasuje, kde sa dá nájsť</w:t>
            </w:r>
          </w:p>
          <w:p w14:paraId="3CFCC4C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postup v prípade zapojenia sa do verejných pochodov či iniciatív ako člen SLSK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81545B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komunikácia s verejnosťou (miestne autority, partneri, sponzori, rodičia, škola…)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31FF49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informačné kanály SLSK; fenomén sociálnych sietí</w:t>
            </w:r>
          </w:p>
          <w:p w14:paraId="2BF620E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logomanuál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Slovenského skautingu</w:t>
            </w:r>
          </w:p>
        </w:tc>
      </w:tr>
      <w:tr w:rsidR="00B27CA5" w14:paraId="1FAC8D3B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14F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C64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7A49C57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E3A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zásady propagácie skautingu na verejnosti a vie prispôsobiť svoje vystupovanie a správanie konkrétnej situácii.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5C7C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4A77401E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ED1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budovať pozitívnu tvár skautského hnutia na lokálnej úrovni prostredníctvom činnosti oddielu/zboru a vytváranie vzťahov s verejnosťou.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B35F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0F12909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9B6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t>Miesto na poznámky</w:t>
            </w:r>
          </w:p>
          <w:p w14:paraId="45CED7AD" w14:textId="77777777" w:rsidR="00B27CA5" w:rsidRDefault="008345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  <w:u w:val="single"/>
              </w:rPr>
              <w:t xml:space="preserve">tip na </w:t>
            </w:r>
            <w:proofErr w:type="spellStart"/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  <w:u w:val="single"/>
              </w:rPr>
              <w:t>podtému</w:t>
            </w:r>
            <w:proofErr w:type="spellEnd"/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t xml:space="preserve"> ako spraviť vhodný príspevok (plagát/sociálna sieť/text na webe) o skautingu a jeho činnosti pre neskautskú verejnosť</w:t>
            </w:r>
          </w:p>
          <w:p w14:paraId="27752698" w14:textId="735D688D" w:rsidR="00B27CA5" w:rsidRPr="002A641A" w:rsidRDefault="008345FB" w:rsidP="002A641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  <w:u w:val="single"/>
              </w:rPr>
              <w:t>tip na aktivitu:</w:t>
            </w:r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t xml:space="preserve"> tému o klišé o skautingu formou diskusie, zapojiť i </w:t>
            </w:r>
            <w:proofErr w:type="spellStart"/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t>neskautov</w:t>
            </w:r>
            <w:proofErr w:type="spellEnd"/>
            <w:r>
              <w:rPr>
                <w:rFonts w:ascii="Arial" w:eastAsia="Arial" w:hAnsi="Arial" w:cs="Arial"/>
                <w:i/>
                <w:color w:val="666666"/>
                <w:sz w:val="20"/>
                <w:szCs w:val="20"/>
              </w:rPr>
              <w:t>, prípadne odborníkov na PR a pod.</w:t>
            </w:r>
          </w:p>
          <w:p w14:paraId="54565548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2AD29C03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260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30"/>
        <w:gridCol w:w="2730"/>
      </w:tblGrid>
      <w:tr w:rsidR="00B27CA5" w14:paraId="02BC8D2B" w14:textId="77777777">
        <w:tc>
          <w:tcPr>
            <w:tcW w:w="75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E213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Nábor detí/členov (zakladanie oddielu)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DB9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00B27CA5" w14:paraId="7FB6E214" w14:textId="77777777">
        <w:trPr>
          <w:trHeight w:val="400"/>
        </w:trPr>
        <w:tc>
          <w:tcPr>
            <w:tcW w:w="10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5A4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formy náboru a ich organizácia (ukážky dobrej praxe)</w:t>
            </w:r>
          </w:p>
          <w:p w14:paraId="55141D5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kroky pri zakladaní oddielu (zhodnotenie situácie, jednotlivé kroky, potrebná administratíva…)</w:t>
            </w:r>
          </w:p>
        </w:tc>
      </w:tr>
      <w:tr w:rsidR="00B27CA5" w14:paraId="4D70482B" w14:textId="77777777">
        <w:tc>
          <w:tcPr>
            <w:tcW w:w="75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180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44B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613CB1E0" w14:textId="77777777"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871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spôsoby organizácie náboru nových členov a dokáže ho zorganizovať.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65A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24F6FAD0" w14:textId="77777777">
        <w:trPr>
          <w:trHeight w:val="420"/>
        </w:trPr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C20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založiť skautský oddiel.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76B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teória</w:t>
            </w:r>
          </w:p>
        </w:tc>
      </w:tr>
      <w:tr w:rsidR="00B27CA5" w14:paraId="48E3E138" w14:textId="77777777">
        <w:trPr>
          <w:trHeight w:val="400"/>
        </w:trPr>
        <w:tc>
          <w:tcPr>
            <w:tcW w:w="10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B71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607D73D4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47D170DE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017F3EBD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53994859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8027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Vedenie a budovanie tímu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11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3BBEED8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6C1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dôležitosť a význam tímov (práca v tíme verzus - práca ako jednotlivec)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F34FF4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osobnosť lídra, typy lídrov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F314A5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fázy budovania tímu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0FDAA6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ako získať a začleniť nového člena tímu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E7EC6C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vedenie tímu (štýly vedenia), chyby vo vedení tímu, RACI matica, pravidlá v tíme a ich dodržiavanie</w:t>
            </w:r>
          </w:p>
          <w:p w14:paraId="709C6AE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teambuilding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teambonding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ako nástroj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479FCFFD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147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6E8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34C5C2A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F76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Vie, ako pracovať so skupinovou dynamikou a riešiť problémy v tíme.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D442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0CFFBEEB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DF2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Dokáže efektívne viesť a budovať tím i v tíme pracovať.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93C5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0816075C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E263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Rozumie dôležitosti tímovej spolupráce a budovania tímu a pozná nástroje na jeho budovanie a rozvíjanie.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BF76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6305FFA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00B4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3698E0A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21EED8F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5F6C15EA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66AB7343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9F07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Spätná väzba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B46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773782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B2D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spätná väzba, reflexia, hodnotenie (charakteristika, význam, rozdiely a výhody)</w:t>
            </w:r>
          </w:p>
          <w:p w14:paraId="56E6083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zásady používania spätnej väzby (prijímanie a dávanie spätnej väzby)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1D51AD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využitie spätnej väzby v oddielovom a inom prostredí (v zbore, osobnom živote...)</w:t>
            </w:r>
          </w:p>
        </w:tc>
      </w:tr>
      <w:tr w:rsidR="00B27CA5" w14:paraId="7D2F8F5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60E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DF1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20F369DF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BA3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rozdiely medzi spätnou väzbou, hodnotením a reflexiou a vie ich využiť vo svojej činnosti.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1C0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 a vodcovská činnosť</w:t>
            </w:r>
          </w:p>
        </w:tc>
      </w:tr>
      <w:tr w:rsidR="00B27CA5" w14:paraId="6EA78F7D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4E2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vhodnou formou dať, prijať a využiť spätnú väzbu.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1B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3278995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B1D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730B294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E3C1830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79C2A7D8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8208621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270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Základy prezentovania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2E0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27CF8CD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73B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základy prezentovania - (mimika, gestikulácia,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proxemika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posturológia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výzor a vhodná vonkajšia úprava - imidž - , očný kontakt)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250D64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práca s hlasom (barličky, intenzita, intonácia, rezonancia hlasu, pauzy,)  a publikom (interakcie...)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239CD4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práca so stresom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E85A31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aplikovanie do praxe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19AD7A63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FC6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CF8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2B2FC59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E3A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vhodnou formou komunikovať s menším publikom a udržať pozornosť.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817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3D98D854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431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 prezentovaní dbá na primeranú gestikuláciu i celkové vystupovanie (zvolené verbálne/neverbálne prostriedky)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778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6B0DCDD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D74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3E25A38" w14:textId="77777777" w:rsidR="00B27CA5" w:rsidRDefault="008345F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  <w:u w:val="single"/>
              </w:rPr>
              <w:t>tip na overovanie tímom</w:t>
            </w: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: vzdelávací tím si stanoví ako vlastnú podmienku pre účastníka odprezentovanie vodcovskej činnosti</w:t>
            </w:r>
          </w:p>
          <w:p w14:paraId="6DABDC40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752D6F2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799965DC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12529C0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992B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Oddielová rada 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nasledovníctvo</w:t>
            </w:r>
            <w:proofErr w:type="spellEnd"/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BDF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0DD3314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A1D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zloženie, príprava a vedenie stretnutia oddielovej rady a náplň činnosti oddielovej rady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5A4B0A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práca s radcami a lídrami v oddiele (tréning, motivácia, modulové kurzy)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A190B4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význam budovania oddielovej rady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nasledovníctvo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succesion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planning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na lokálnej úrovni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6DE593A2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8CB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487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0F42483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939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Pozná spôsoby, ako postupovať pri cielenom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nasledovníctve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6E8F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6F38A0A9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CE3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pripraviť a zrealizovať stretnutie oddielovej rady a usmerniť náplň činnosti oddielovej rady.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7105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79206C66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570C" w14:textId="1901F483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kde je miesto radcov a lídrov v oddielovej rade, dokáže ich začleniť do rady a primerane motivovať a vzdelávať.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7AE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3B3376E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7C1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44055680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BD450F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1A501018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016A2CAE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3320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Zbor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144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A53E49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B69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vedenie zboru (právna stránka oddiel vs. zbor) a spolupráca s oddielmi a oblasťou (benefity zo spolupráce)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AAAE07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zborová rada (zloženie, povinnosti a kompetencie, činnosť) a ďalší činovníci a funkcie v zbore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870CC2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programová činnosť zboru v porovnaní s tou v oddiele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3CDBC9F8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E73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4D1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08F5CCE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FBA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Vie, ako viesť skautský zbor a rozumie právnej stránke vedenia zboru.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C16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2DC83C3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AC6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8FEDA8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4117BD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11C3172F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6B6C011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167B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Zborová administratíva, financie 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fundraising</w:t>
            </w:r>
            <w:proofErr w:type="spellEnd"/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2D3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4F74CAD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0B0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administratíva počas roka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5FB7EA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základné zásady GDPR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C37E9A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skautský informačný systém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(riadenie zborovej/oblastnej jednotky)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80C4D1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vyúčtovanie podujatí, dotácie, priebežné účtovanie , inventarizácia; finančné termíny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AF7456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monitoring (Hodnotenie kvality),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evaluácia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 oddiele a zbore a využiteľnosť výstupov z nich v praxi</w:t>
            </w:r>
          </w:p>
          <w:p w14:paraId="3B2D46A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zmluva o dotácii, o právnej subjektivite zboru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2FD034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možnosti získania finančnej podpory – dary, projekty, granty, brigády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bartrové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dohody,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fundraising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(Klub priateľov skautingu, 2% z dane,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crowfunding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1F34BA38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451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4D6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1A9DAB8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C09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Dokáže zvládnuť administratívu potrebnú k vedeniu oddielu, zboru a oblasti (evidencia členov zboru, práca so systémom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Tee-pee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vykazovanie akcií...).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87A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skúšky - teoretická otázka, vodcovská činnosť</w:t>
            </w:r>
          </w:p>
        </w:tc>
      </w:tr>
      <w:tr w:rsidR="00B27CA5" w14:paraId="6ED2D7F9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DA5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popísať rôzne možnosti získania finančnej podpory pre zbor a oddiel (2%, Klub priateľov skautingu, ...).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315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skúšky - teoretická otázka</w:t>
            </w:r>
          </w:p>
        </w:tc>
      </w:tr>
      <w:tr w:rsidR="00B27CA5" w14:paraId="6FEC83E7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6CB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pracovať s nástrojom Hodnotenie kvality oddielu a zboru a zapracovať do fungovania oddielu/zboru nové zistenia.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425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62870AB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2AA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45A94A1D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A8D1C6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38EF28D1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0B89410A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9FE9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Oblasť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912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06A429B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D52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oblasť (ako funguje, jej špecifiká, zloženie oblastnej rady)</w:t>
            </w:r>
          </w:p>
          <w:p w14:paraId="6E4D2B2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čo ponúka oblasť zborom, ako aktívne komunikovať s oblasťou (z pozície zborového vodcu) a ostať s ňou v kontakte</w:t>
            </w:r>
          </w:p>
          <w:p w14:paraId="217E5589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programová a vzdelávacia činnosť (v porovnaní s tou v oddiele/zbore)</w:t>
            </w:r>
          </w:p>
        </w:tc>
      </w:tr>
      <w:tr w:rsidR="00B27CA5" w14:paraId="3B086554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74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B1A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141F163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258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vedomosť, ako viesť oblasť po organizačnej a programovej stránke.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6A7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skúšky –  teoretická otázka</w:t>
            </w:r>
          </w:p>
        </w:tc>
      </w:tr>
      <w:tr w:rsidR="00B27CA5" w14:paraId="00864D04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85B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postavenie oblastí a ich prepojenie na oddiely a zbory.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43A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skúšky – teoretická otázka</w:t>
            </w:r>
          </w:p>
        </w:tc>
      </w:tr>
      <w:tr w:rsidR="00B27CA5" w14:paraId="5F862CF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42C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6B1FD290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3EDDD6CC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17A48F7B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3E5CDC7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0EB8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Deti so špeciálnymi výchovno-vzdelávacími potrebami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62B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0B6A797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BBF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Deti so špeciálnymi výchovno-vzdelávacími potrebami (ako s nimi pracovať, ako riešiť problémy) - charakteristika, postup a prispôsobenie programu pri vybraných diagnózach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171BA7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akceptovanie a rešpektovanie detí so SVVP </w:t>
            </w:r>
          </w:p>
          <w:p w14:paraId="730A2E0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zvládnuteľnosť detí so ŠVVP (možnosť povedať nie, korektná komunikácia s rodičmi)</w:t>
            </w:r>
          </w:p>
          <w:p w14:paraId="6893DBF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odborníci a autority v téme deti so ŠVVP (na koho sa obrátiť s potrebou konzultácie, odbornej pomoci)</w:t>
            </w:r>
          </w:p>
        </w:tc>
      </w:tr>
      <w:tr w:rsidR="00B27CA5" w14:paraId="3FAF4D54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587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BAB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33395D1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635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znalosť o tom, ako pracovať s deťmi so špeciálnymi výchovno-vzdelávacími potrebami a vedie k tomu i ostatných členov oddielu.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A41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22FF69B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522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spozorovať, že člen sa správa neštandardne a vie, ako v takejto situácii postupovať.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A17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67B6E82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35C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7383DD0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24C2FED5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352994E0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7B45A8A1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269A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Právna zodpovednosť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918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139B0B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185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občianska, trestná, právna zodpovednosť (právne predpisy)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6AA3C3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vekové limity na zodpovednosť v jednotlivých odvetviach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BD5E08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zodpovednosť individuálna (FO) alebo kolektívna (PO)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7146CB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sankcie v skautingu a mimo skautingu (disciplinárna komisia, zmierovacia rada)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59CA7F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disciplinárne konanie (význam v SLSK, postup, vedomosť o existencii Disciplinárneho poriadku)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5E47AA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zodpovednosť právnickej osoby - občianskoprávna, trestnoprávna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94172C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ochrana súkromia a GDPR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EDCA1D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konanie za zbor bez plnomocenstva a s plnomocenstvom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5971156D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116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BF6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074C80B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D5F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právne normy potrebné pre skautského vodcu (práca s deťmi a mládežou, porušenie práv dieťaťa/druhých) a vie, ako má v prípade ich porušenia postupovať.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E0C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3D28EE9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FCC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lastRenderedPageBreak/>
              <w:t>Miesto na poznámky</w:t>
            </w:r>
          </w:p>
          <w:p w14:paraId="30D8CB71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80183C6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2BE5C7E7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0A614505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B68C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Základy metód neformálneho vzdelávania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D33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5B969F6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885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základy realizácie vzdelávacieho bloku od A - Z (motivačná časť na úvod, teoretické jadro, praktické prevedenie, práca s časom…)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FF83BE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metóda, technika, aktivita (rozdiel medzi nimi a ich poradie)</w:t>
            </w:r>
          </w:p>
          <w:p w14:paraId="512020D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vybrané vzdelávacie metódy: prednáška, skupinová práca, diskusia, hra... (výhody/nevýhody, využitie v praxi)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899540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kreatívne techniky - brainstorming, mapa mysle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D38EAD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príprava modulového vzdelávania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21E9B8AD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D6BE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A66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00427A5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96F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vysvetliť rozdiel medzi metódou, technikou a aktivitou.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84E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61F940F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902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pripraviť a zrealizovať na základe metodických podkladov modulové vzdelávanie pre oddiel, zbor alebo oblasť.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056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034B4079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66B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789ACAC7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656232FF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1EBBD736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105782A9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E831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Tábor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74C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5F7B2ED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3FC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vedenie tábora - programový tím, vodca tábora, kuchynský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MTZ..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A665EA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plánovanie táborov (prečo plánovať dopredu, na čo pamätať pri plánovaní, s kým plánovať, špecifiká pri plánovaní táborov, akcií, rozdelenie úloh pri organizácií, cestovanie na tábor); </w:t>
            </w:r>
          </w:p>
          <w:p w14:paraId="1448EA9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povinnosti pri plánovaní a organizovaní tábora (a tlačivá potrebné pre realizáciu tábora)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C5D04E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realizácia tábora(aj príprava logistiky) a jeho vyhodnotenie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7925F39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táborové stavby (popis, postup prác pri budovaní tábora, usporiadanie) - zásady stravovania, uskladnenie potravín a hygienické predpisy, denný režim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55BDBD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špecifiká programu pre tábory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00E4BB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chránené územia na Slovensku a stupne ochrany prírody na Slovensku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10535C36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41B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6E6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7FD24EC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4CF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zaistiť organizáciu tábora po všetkých stránkach.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BFA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4D3C16B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8A4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3536990A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A99E6E8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5AC376B4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07447B13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ABD6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Projektové myslenie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FF6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1099A3F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3B3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príprava, realizácia, hodnotenie projektu   - projekt od A po Z (ukážka napr. na Strategickom pláne)</w:t>
            </w:r>
          </w:p>
          <w:p w14:paraId="47170A2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SWOT analýza a eventuálne aj iné metódy (napr. PESTEL)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9EDF54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kvantitatívne a kvalitatívne ukazovatele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8E68C1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rozpočet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F99212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využitie projektového myslenia v praxi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2BBB28F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246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A18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06BF092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11D4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Vie naplánovať, zrealizovať a vyhodnotiť projekt.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DA6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209B0F14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899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vypracovať analýzu svojho oddielu/zboru.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163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4D828687" w14:textId="77777777">
        <w:trPr>
          <w:trHeight w:val="420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369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víziu rozvoja oddielu/zboru/oblasti.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7E9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</w:t>
            </w:r>
          </w:p>
        </w:tc>
      </w:tr>
      <w:tr w:rsidR="00B27CA5" w14:paraId="1082D1E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C5C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20444BC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48CD8C0E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1E218996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33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2730"/>
      </w:tblGrid>
      <w:tr w:rsidR="00B27CA5" w14:paraId="587C06AC" w14:textId="77777777">
        <w:tc>
          <w:tcPr>
            <w:tcW w:w="7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F658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Bezpečnosť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3FF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53AE292A" w14:textId="77777777">
        <w:trPr>
          <w:trHeight w:val="40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D39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bezpečnostné zásady a ich dodržiavanie na akciách pre verejnosť (zodpovednosť), na akciách pre 50 a viac ľudí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8794EC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miera prípustného rizika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0CFC76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dodržiavanie hygienických zásad na viacdňovom podujatí/podujatí s viac ako 50 účastníkmi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E21096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prezentovanie predpisov a zásad účastníkom podujatia</w:t>
            </w:r>
          </w:p>
          <w:p w14:paraId="3473094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postup v situáciách v prípade porušenia predpisov (právne predpisy SR, interné predpisy – rozdiely medzi nimi)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C38374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Safe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harm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5EA7447B" w14:textId="77777777">
        <w:tc>
          <w:tcPr>
            <w:tcW w:w="7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FFD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647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8E9DBF7" w14:textId="77777777"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0A4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pravidlá bezpečnosti (aj pri špecifických činnostiach, ako napr. plávanie, jaskyniarstvo...) a riadi sa nimi.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5A8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46BE3BD8" w14:textId="77777777">
        <w:trPr>
          <w:trHeight w:val="420"/>
        </w:trPr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7F8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zvážiť potenciálne riziká a snaží sa im predchádzať.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2DF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494FCF7F" w14:textId="77777777">
        <w:trPr>
          <w:trHeight w:val="420"/>
        </w:trPr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ADC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Dokáže zabezpečiť pre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podujtie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prostredie zodpovedajúce bezpečnostným a hygienickým zásadám.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884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02235719" w14:textId="77777777">
        <w:trPr>
          <w:trHeight w:val="420"/>
        </w:trPr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299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Dokáže viesť oddiel a vytvoriť prostredie v súlade so zásadami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Safe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harm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08E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3797176F" w14:textId="77777777">
        <w:trPr>
          <w:trHeight w:val="40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1C3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1355F47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4794EEB9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951EFC3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63B8C812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0C58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Krízové situácie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532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05EF430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0A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vystupovanie v krízových situáciách, forma vedenia ľudí   a základy risk managementu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281EE2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ošetrenie krízových situácií po ich „uhasení“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D9A3AD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riešenie konfliktov medzi vodcami, vodcami a členmi, členmi;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mediátorstvo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nestrannosť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0CF25F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modelové krízové situácie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4A14105F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368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EFF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786ED0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F73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riešiť krízové situácie. Pozná postup, ako sa zachovať v prípade krízových situácií v oddiele a v prípade medziľudských konfliktov a aké sú odporúčané postupy v Slovenskom skautingu.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9F4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modelová situácia</w:t>
            </w:r>
          </w:p>
        </w:tc>
      </w:tr>
      <w:tr w:rsidR="00B27CA5" w14:paraId="20D66129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4818" w14:textId="36D72528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63286C7A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29742F4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1EE6A54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68AD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Piliere a ich aplikácia do praxe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8D1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315ED62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D55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význam pilierov skautingu a využitie v praxi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412F0C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poslanie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5ABF1A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princípy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061D11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výchovná metóda (jej časti, vzťahy medzi nimi a ich aplikácia do oddielového života)</w:t>
            </w:r>
          </w:p>
          <w:p w14:paraId="439DF3E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aplikovanie teórie o pilieroch do praxe a života oddielu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DA3D63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odlišnosť skautingu od iných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detských/mládežníckych) organizácií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42F03E5E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508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84B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6E1D5A2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667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vysvetliť význam a využitie pilierov skautingu v praxi výchovného procesu.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375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7FA8C28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579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parafrázovať poslanie skautingu a vysvetliť ho verejnosti.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47F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09A511B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07D2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aplikovať piliere skautingu do výchovného procesu v skautingu.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B51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707E3B3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1FF7" w14:textId="3E490749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37D5FAE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2DD710A1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30C7A719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B01B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Štruktúra organizácie a základné dokumenty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B77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3BC3960C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284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Slovenský skauting (právna forma, charakteristika občianskeho združenia, sídlo, členenie, právna subjektivita nižších zložiek; apolitickosť verzus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nepolitickosť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občianskeho združenia)</w:t>
            </w:r>
          </w:p>
          <w:p w14:paraId="2EAFD62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Skautský, Mimoriadny a Malý snem (význam, delegáti, frekvencia, právomoci)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AB67B9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Náčelníctvo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rady SLSK (členovia, kompetencie, význam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Náčelníctva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 jednotlivých rád)</w:t>
            </w:r>
          </w:p>
          <w:p w14:paraId="35B0344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kontrolné orgány (význam, kontakt, kompetencie)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3D1B11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Ústredie (fungovanie, význam, kontakt, riaditeľ Ústredia, vzťah voči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Náčelníctvu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); aktívne kampane počas roka (Deň zamyslenia, Deň so skautskou šatkou, Betlehemské svetlo…)</w:t>
            </w:r>
          </w:p>
          <w:p w14:paraId="5E84063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Stanovy SLSK a Organizačný poriadok SLSK (kto prijíma, čo upravujú, vzájomný vzťah)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9EF48A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Vodní skauti (štruktúra, fungovanie)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50E3C52A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209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906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307060B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BED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organizačnú štruktúru Slovenského skautingu, význam jej jednotlivých zložiek a dokáže vysvetliť vzťahy medzi nimi.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FF9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4FE94DFC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F9F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Stanovy a Organizačný poriadok Slovenského skautingu, ich význam, vie ako sú členené a kto ich upravuje.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360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2F83EE4F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932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kampane (projekty) na národnej úrovni, vie, kde si o nich nájde informácie a vie, ako sa do nich zapojiť.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8B3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63CE799C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0AF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povedomie o organizačnej štruktúre vodných skautov a vie ako môže nadviazať spoluprácu so slovenskými vodnými skautmi, pozná zdroje informácií o nich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7D6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C1078B3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875A" w14:textId="12A9598F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0B836D9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4392023F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662936AC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FF68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Medzinárodný rozmer skautingu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0E6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C77B2E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64D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svetové skautské hnutie a Slovenský skauting</w:t>
            </w:r>
          </w:p>
          <w:p w14:paraId="26E0455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susedné skautské organizácie, iné skautské organizácie na Slovensku a ich vzťah k SLSK</w:t>
            </w:r>
          </w:p>
          <w:p w14:paraId="04D15ED9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myšlienková jednota svetového skautského hnutia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F30537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WOSM, WAGGGS (ako fungujú, čomu sa venujú, členovia, ponuky, vízia a misia), ICCS, ICCG, ISGF</w:t>
            </w:r>
          </w:p>
          <w:p w14:paraId="2BFE012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Zahraničná rada (štruktúra) a jej informačné kanály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A7DF1D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Vodca ako IST/CMT + akcie pre neho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CB33D9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zahraničné akcie ako prevencia pred xenofóbiou a rasizmom; rešpektovanie inakosti; multikulturalizmus v programe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34F839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povinnosti pri ceste do zahraničia (manuál)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33F93373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6EF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9C0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07EB6C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8F20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svetové skautské organizácie WOSM a WAGGGS a ďalšie (ICCS, ICCG, ISGF) a možnosti/služby zo svetových skautských organizácií.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C25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09F19087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15E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prehľad o zahraničnej ponuke podujatí a dokáže lídrom a radcom v oddiele sprostredkovať túto ponuku.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230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0EF807E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469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Odmieta akékoľvek xenofóbne či rasistické prejavy. Vedie k tomu členov svojho oddielu/zboru.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B80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73D941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322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578E9800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46A25EC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56488324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B199FA3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D71E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Duchovno v skautingu a aktivity na duchovný rozvoj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67F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47BE6A4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046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vzťah skautského hnutia k duchovnu a k duchovnému napredovaniu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1CCF67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formy duchovna v skautingu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2F17C211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využitie duchovna pri individuálnom rozvoji členov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D7CDEA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tvorba náročnejšej duchovnej aktivity pre rôzne vekové kategórie (typy a príklady)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A77247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bezpečnosť a tolerancia pri tvorbe duchovného programu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7D70AE9A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149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974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26EDADF4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425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vysvetliť význam duchovna v skautingu a pri individuálnom rozvoji členov.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730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24D92B4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3326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vhodným spôsobom zapojiť duchovno do programu oddielu a zboru aj do individuálneho rozvoja členov.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F38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tímu, skúšky - modelová situácia</w:t>
            </w:r>
          </w:p>
        </w:tc>
      </w:tr>
      <w:tr w:rsidR="00B27CA5" w14:paraId="00DF322B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58E0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naučiť svoju oddielovú radu, ako pracovať s témou duchovna.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5C8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3C21EEA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3DC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0B1341A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7CC99B42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color w:val="999999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  <w:u w:val="single"/>
              </w:rPr>
              <w:t>Ďalšie zdroje, inšpirácie:</w:t>
            </w:r>
          </w:p>
          <w:p w14:paraId="5D562C6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 xml:space="preserve">Manuál duchovného a náboženského rozvoja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(WOSM, 2010). Dostupné vo Vzdelávacej knižnici.</w:t>
            </w:r>
          </w:p>
          <w:p w14:paraId="5BBD92B1" w14:textId="7B0DFE9B" w:rsidR="00B27CA5" w:rsidRPr="002A641A" w:rsidRDefault="008345FB">
            <w:pPr>
              <w:spacing w:after="0" w:line="240" w:lineRule="auto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Skauting a duchovný rozvoj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(WOSM, 2001). Dostupné vo Vzdelávacej knižnici.</w:t>
            </w:r>
          </w:p>
          <w:p w14:paraId="12B16FFD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00621106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BE4C70B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CADA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Výchovný program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E57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B27CA5" w14:paraId="31688091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CF6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výchova v SLSK/skautingu - plnohodnotný človek a aktívny občan ---- v programe hlbší zmysel jednotlivých prvkov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D859D8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programová ponuka SLSK s hlavným zameraním na roverov, dospelých, predškolákov, vodných skautov (stupne napredovania,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odborky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výzvy, voľné programové moduly,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DofE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najvyššie programové ocenenia)</w:t>
            </w:r>
          </w:p>
          <w:p w14:paraId="59F9083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práca s programovou ponukou a ako pomáhať radcom a lídrom aby ju dokázali aplikovať do programu</w:t>
            </w:r>
          </w:p>
          <w:p w14:paraId="41BD7E2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osobné napredovanie členov - RACE metóda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consideration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evaluation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D9D52E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prispôsobovanie programových prvkov členom oddielu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782D66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Programová rada Slovenského skautingu (kruhy) a 12. kapitola OP ; podporné materiály (metodiky a pomocné materiály)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01E6282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0F4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A6A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666AEC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D3F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Pozná hlbší význam, zmysel a širší kontext stupňov napredovania,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odboriek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výziev, voľných programových modulov a najvyšších programových ocenení SLSK.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46A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412163EB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369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čo znamená výchova v SLSK/skautingu, prečo ju robíme (cieľ), čo je touto výchovou (ponuka) a ako ju uvádzame do praxe (metóda a práca s programovými prvkami).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4C0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57B959D7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F60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prispôsobiť všetky prvky programu individualite členov a zároveň pozná svoje právomoci pri zmene výchovného programu.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50B7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vodcovská činnosť, odporúčanie tímu</w:t>
            </w:r>
          </w:p>
        </w:tc>
      </w:tr>
      <w:tr w:rsidR="00B27CA5" w14:paraId="2B264FF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4E1E" w14:textId="6310BDE1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4515CD3" w14:textId="77777777" w:rsidR="002A641A" w:rsidRDefault="002A641A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70D4B4B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A9DCEA3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1A64202A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3794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Vzdelávací systém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05F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11FF007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A4B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vzdelávací systém SLSK (vzdelávacie stupne, moduly, voľné kurzy - zámer jednotlivých zložiek vzdelávacieho systému, kompetencie absolventa, obsahové náplne)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7E6599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hodnosti (radca, líder, vodca, inštruktor), insígnie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B0911B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skúšky v systéme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(systém a náplň skúšok RK a LRŠ, základy skúšania)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5FA457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možnosti vzdelávania v SLSK a v iných organizáciách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D48D7B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dôležitosť vzdelávania v SLSK, zodpovednosť vodcu a jeho úloha v oddiele/zbore v súvislosti so vzdelávaním (motivácia členov k vzdelávaniu, odporúčanie vhodného kurzu, neuprednostňovanie jedného kurzu pred ostatnými, dôležitosť zastúpenia absolventov rôznych LRŠ a VLŠ v oddiele/zbore...)</w:t>
            </w:r>
          </w:p>
          <w:p w14:paraId="6E87E19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Rada pre vzdelávanie SLSK a 8. kapitola OP; podporné materiály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; komunikačné kanály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E5551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oblastný inštruktor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1E93136C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BC3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46A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64EBA90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CF0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vzdelávací systém SLSK (možnosti získania jednotlivých hodností, voľné kurzy, kto zastrešuje vzdelávací systém) a akou formou je aplikovaný do praxe (národné tímy, oblasť, modulové kurzy).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339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6086E26B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9A8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Rozumie zodpovednosti vodcu za vzdelávanie členov oddielu a zboru.</w:t>
            </w:r>
          </w:p>
          <w:p w14:paraId="3499087D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 odporučiť členom vhodný vzdelávací stupeň/modul/kurz.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612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7E613E7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0734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Pozná princíp a priebeh radcovských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líderských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skúšok a dokáže zastávať pozíciu člena skúšobnej komisie.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11A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0204287A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378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4AADA0F1" w14:textId="76B95043" w:rsidR="002A641A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Tip: Pre účastníkov by mohlo byť prínosné, ak by prednášajúci zaradil do prednášky aj prehľad mimovládnych organizácií a kurzov, kde sa môže ďalej dovzdelávať v jednotlivých témach (možno aj tipy na kurzy, ktoré sú zdarma, ktoré ponúkajú aj určitú sumu na zrealizovanie toho, čo sa účastníci naučili…)</w:t>
            </w:r>
          </w:p>
        </w:tc>
      </w:tr>
    </w:tbl>
    <w:p w14:paraId="5446EBC4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6E31124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9FD6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História skautského hnutia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A23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4008A048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60E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história skautingu: pôvod skautingu, zakladateľ, dôvody založenia skautingu, významné roky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F335B0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skauting na Slovensku, medzníky skautingu vo svete a na Slovensku, skauting na Slovensku po roku 1989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038F98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ako pracovať s históriou, využitie v programe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4C9C15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Skautské múzeum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B0A952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Historická komisia SLSK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4508D15E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BCF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AB76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09184E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D49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 prehľad o histórii skautingu ako hnutia, ako aj skautingu na Slovensku.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B61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6F07B21C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DD93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s históriou skautingu pracovať a aplikovať jej poznávanie do skautských aktivít.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1EB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69FC2B4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CA6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24893FA9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405C0E5C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3A897B3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7C269A3D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AB75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Skautská rovnošata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83E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47B4800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233F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Kapitola 15: Rovnošatový predpis a rovnošata (pôvod, význam, rovnošatový predpis, popis)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D6D294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nové a upravené prvky na rovnošatu v súlade s OP (vytváranie/prisvojenie si nových prvkov na rovnošate)</w:t>
            </w:r>
          </w:p>
          <w:p w14:paraId="7FD5CA0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budovanie identity cez rovnošatu - rovnošatové prvky z kurzov, oblastné prvky, zborové prvky</w:t>
            </w:r>
          </w:p>
        </w:tc>
      </w:tr>
      <w:tr w:rsidR="00B27CA5" w14:paraId="450ED01A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695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D05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2AC692CC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4804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budovať identitu cez nové prvky na rovnošate v súlade s OP a vkusom.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A1B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DA79DA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6C5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kapitolu 15. OP: Rovnošata a pri nosení rovnošaty sa ňou riadi.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CD8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12FCE93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476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5FB7AFDA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24E226F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7D1C141F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F42CF9A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F77A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Skautská symbolika, tradície a rituály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D3D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4449A4B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2CC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tradície a rituály (príklady na oddielové a zborové, resp. oblastné, pôvod, význam, udržiavanie tradičných, zavedenie nových)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D797C0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zborové, oddielové a družinové symboly (a iné symboly)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896DE3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nástup, večierka,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Gilwellský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kruh (význam a prevedenie)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ED707F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vlajky (zásady používania, skautská a slovenská vlajka, oddielové, zborové)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A598CD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woodcraft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jeho prepojenie so skautingom; symbolika zapaľovania ohňa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87CBC1E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príručka Ceremoniály SLSK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58181B4A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85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6E4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5F0EAEB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D800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Vie vysvetliť, prečo sú v živote družiny/oddielu/zboru symboly, tradície a rituály dôležité.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43F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76C2FCF5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03E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Rešpektuje rituály a tradície ostatných.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D74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54E92623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35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budovať vlastné, prípadne inovovať existujúce tradície a rituály na základe potrieb členov.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D9B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B646BA3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FDE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49E27EE8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12B764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29EF3947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C21A4A7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1C4D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Skautská prax - využitie vo výchovnej činnosti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A90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36354C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6C6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dôležitosť skautskej praxe (učenie sa činnosťou, soft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E69FED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zapracovanie do skautského programu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26565939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3C51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BEE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5B1FE24A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B25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výhody využívania skautskej praxe v činnosti oddielu a dokáže radcom a lídrom pomôcť aplikovať skautskú prax do oddielovej činnosti.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0DF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221EB7F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27DE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38BB5A9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68E74AD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5C78B915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65858A48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37C4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Zapojenie komunity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2B9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B27CA5" w14:paraId="730527FB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CAD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charakteristika, význam a formy zapojenia komunity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87170E7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praktická aplikácia do oddielovej, zborovej a oblastnej činnosti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7CA5" w14:paraId="032462DF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AEC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3BF1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4F4AB907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C21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pracovať s prvkom metódy zapojenie komunity v rámci oddielu, zboru a oblasti.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548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4B3B2F00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104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význam zapojenia komunity ako súčasti výchovnej metódy.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E36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4BB5CD62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021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2E69210D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225B5A2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2AC7557A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39890E39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051C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Sľub a zákon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CA34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7DE0FC0D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78AC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význam sľubu a zákona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C6941C3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zapracovanie do skautského života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D0CC98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skladanie sľubu, obrad, obnova sľubu a jej význam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E9C2B45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uplatňovanie skautského zákona v živote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834A6C6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sebareflexia dodržiavania zákona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6EEAFF4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etický kódex dobrovoľníka ako ďalší prvok, ktorý určuje hodnotové smerovanie dospelých skautov.</w:t>
            </w:r>
          </w:p>
        </w:tc>
      </w:tr>
      <w:tr w:rsidR="00B27CA5" w14:paraId="03543306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8BD0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859A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5DBD64B1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2AFF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Rozumie postaveniu a významu skautského zákona a sľubu v skautingu a vie vysvetliť ich hlbší význam.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4CDC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3547CFE0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D329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sľub a zákon zapracovať do života oddielu/zboru/oblasti.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A535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 a modelová situácia</w:t>
            </w:r>
          </w:p>
        </w:tc>
      </w:tr>
      <w:tr w:rsidR="00B27CA5" w14:paraId="21709FB5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9440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278A26D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7A015D99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E88EF3C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26B6D4ED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C11E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Život v prírode - ochrana prírody a ako môže skauting pomáhať prírode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5A29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27CA5" w14:paraId="05C0E13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4F81" w14:textId="1062B65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aktivity a program rozvíjajúci enviro</w:t>
            </w:r>
            <w:r w:rsidR="002A641A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mentálnu výchovu (na skautských podujatiach i v súkromnom živote)</w:t>
            </w:r>
          </w:p>
          <w:p w14:paraId="32DDE5AD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ochrana prírody (vedenie detí k ochrane, zákon o ochrane prírody a krajiny, lesný zákon)   </w:t>
            </w:r>
          </w:p>
        </w:tc>
      </w:tr>
      <w:tr w:rsidR="00B27CA5" w14:paraId="3D159535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936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DED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37090A1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F2B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Rozumie významu pomoci skautingu pri ochrane prírody.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1B0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25045199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3791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zákon o ochrane prírody a krajiny a lesný zákon.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9F2D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</w:t>
            </w:r>
          </w:p>
        </w:tc>
      </w:tr>
      <w:tr w:rsidR="00B27CA5" w14:paraId="38E86996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22AA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svojim členom ukázať ako vie skauting pomáhať prírode skrz aktivity a výchovu mládeže.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A38E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7B99022F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61A7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4CDA2C6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68E6DC29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08D1A09D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3267C52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5291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Podpora od dospelých (prvok metódy) a starostlivosť o dobrovoľníkov (dospelých/nedospelých)</w:t>
            </w:r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72F8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B27CA5" w14:paraId="308EEE1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22AB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spôsoby podpory od dobrovoľníkov a priaznivcov skautingu (dospelých aj nedospelých)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34ABB8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motivácia a ocenenie dobrovoľníkov (Služba skautingu, Syrinx...), formy starostlivosti o dobrovoľníkov (syndróm vyhorenia...)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5094032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MOVIS - WOSM cyklus dobrovoľníka, nábor dobrovoľníkov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EF0BEAA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skautovanie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ako celoživotná cesta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4CF6D60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etický kódex dobrovoľníka, dobrovoľnícke dohody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mutual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agreement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4A3F230" w14:textId="4CBE2D28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Kruh starostlivosti o dospelých ako štruktúra v rámci SLSK; oddiely dospelých skautov a rodinný skauting; význam dospelých v SLSK; možno</w:t>
            </w:r>
            <w:r w:rsidR="002A641A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ti sebarealizácie dospelých v organizácii  </w:t>
            </w:r>
          </w:p>
        </w:tc>
      </w:tr>
      <w:tr w:rsidR="00B27CA5" w14:paraId="397E6A99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82E1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D71F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6E79ED8D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3B1C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Pozná základné postupy a zásady pri podpore od dospelých (ako prvok výchovnej metódy) a starostlivosti o dospelých (i nedospelých) dobrovoľníkov a dokáže ich v praxi aplikovať.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7E9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skúšky - teoretická otázka, modelová situácia</w:t>
            </w:r>
          </w:p>
        </w:tc>
      </w:tr>
      <w:tr w:rsidR="00B27CA5" w14:paraId="6355002E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33FB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1B260478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1C8632B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4EF4D328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730"/>
      </w:tblGrid>
      <w:tr w:rsidR="00B27CA5" w14:paraId="4B04441D" w14:textId="77777777">
        <w:tc>
          <w:tcPr>
            <w:tcW w:w="7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7555" w14:textId="77777777" w:rsidR="00B27CA5" w:rsidRDefault="008345F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Osobné napredovanie členov: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mentoring</w:t>
            </w:r>
            <w:proofErr w:type="spellEnd"/>
          </w:p>
        </w:tc>
        <w:tc>
          <w:tcPr>
            <w:tcW w:w="2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0283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00B27CA5" w14:paraId="488FC8D0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F548" w14:textId="77777777" w:rsidR="00B27CA5" w:rsidRDefault="008345F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ako nástroj, základy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mentoringu</w:t>
            </w:r>
            <w:proofErr w:type="spellEnd"/>
          </w:p>
        </w:tc>
      </w:tr>
      <w:tr w:rsidR="00B27CA5" w14:paraId="02D3D766" w14:textId="77777777">
        <w:tc>
          <w:tcPr>
            <w:tcW w:w="75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9E91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Vodca: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F3B2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overenia</w:t>
            </w:r>
          </w:p>
        </w:tc>
      </w:tr>
      <w:tr w:rsidR="00B27CA5" w14:paraId="7D8978E2" w14:textId="77777777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0E78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Dokáže využívať osobné vedenie členov v oddieloch a zboroch.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BDBB" w14:textId="77777777" w:rsidR="00B27CA5" w:rsidRDefault="008345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odporúčanie tímu</w:t>
            </w:r>
          </w:p>
        </w:tc>
      </w:tr>
      <w:tr w:rsidR="00B27CA5" w14:paraId="5EBF1BE6" w14:textId="77777777">
        <w:trPr>
          <w:trHeight w:val="400"/>
        </w:trPr>
        <w:tc>
          <w:tcPr>
            <w:tcW w:w="10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8105" w14:textId="77777777" w:rsidR="00B27CA5" w:rsidRDefault="008345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  <w:t>Miesto na poznámky</w:t>
            </w:r>
          </w:p>
          <w:p w14:paraId="08356DAB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  <w:p w14:paraId="04BCEC3A" w14:textId="77777777" w:rsidR="00B27CA5" w:rsidRDefault="00B27CA5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0"/>
                <w:szCs w:val="20"/>
              </w:rPr>
            </w:pPr>
          </w:p>
        </w:tc>
      </w:tr>
    </w:tbl>
    <w:p w14:paraId="649E348C" w14:textId="77777777" w:rsidR="00B27CA5" w:rsidRDefault="00B27C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27CA5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392A" w14:textId="77777777" w:rsidR="00326995" w:rsidRDefault="00326995">
      <w:pPr>
        <w:spacing w:after="0" w:line="240" w:lineRule="auto"/>
      </w:pPr>
      <w:r>
        <w:separator/>
      </w:r>
    </w:p>
  </w:endnote>
  <w:endnote w:type="continuationSeparator" w:id="0">
    <w:p w14:paraId="7CF52038" w14:textId="77777777" w:rsidR="00326995" w:rsidRDefault="003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773F" w14:textId="77777777" w:rsidR="00B27CA5" w:rsidRDefault="00B27CA5">
    <w:pPr>
      <w:spacing w:after="0"/>
      <w:ind w:right="-34"/>
      <w:jc w:val="center"/>
      <w:rPr>
        <w:sz w:val="16"/>
        <w:szCs w:val="16"/>
      </w:rPr>
    </w:pPr>
  </w:p>
  <w:p w14:paraId="21F667E8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Poslaním skautingu je prispieť k plnému rozvoju mladého človeka.</w:t>
    </w:r>
  </w:p>
  <w:p w14:paraId="04FCF5B8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Rozvíjame jeho vedomosti, schopnosti a postoje v telesnej, intelektuálnej, citovej, sociálnej, duchovnej a charakterovej oblasti.</w:t>
    </w:r>
  </w:p>
  <w:p w14:paraId="776B546E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je členom svetových organizácií WOSM a WAGGGS.</w:t>
    </w:r>
  </w:p>
  <w:p w14:paraId="6B92EFD4" w14:textId="77777777" w:rsidR="00B27CA5" w:rsidRDefault="00B27CA5">
    <w:pPr>
      <w:spacing w:after="0"/>
      <w:ind w:right="-34"/>
      <w:jc w:val="center"/>
      <w:rPr>
        <w:sz w:val="16"/>
        <w:szCs w:val="16"/>
      </w:rPr>
    </w:pPr>
  </w:p>
  <w:p w14:paraId="7F077932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CA0C28" wp14:editId="3B413858">
          <wp:extent cx="457200" cy="457200"/>
          <wp:effectExtent l="0" t="0" r="0" b="0"/>
          <wp:docPr id="1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</w:t>
    </w:r>
    <w:r>
      <w:rPr>
        <w:noProof/>
        <w:sz w:val="16"/>
        <w:szCs w:val="16"/>
      </w:rPr>
      <w:drawing>
        <wp:inline distT="0" distB="0" distL="0" distR="0" wp14:anchorId="501B59B7" wp14:editId="444DA1D7">
          <wp:extent cx="466090" cy="466090"/>
          <wp:effectExtent l="0" t="0" r="0" b="0"/>
          <wp:docPr id="3" name="image3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0E7AF" w14:textId="77777777" w:rsidR="00326995" w:rsidRDefault="00326995">
      <w:pPr>
        <w:spacing w:after="0" w:line="240" w:lineRule="auto"/>
      </w:pPr>
      <w:r>
        <w:separator/>
      </w:r>
    </w:p>
  </w:footnote>
  <w:footnote w:type="continuationSeparator" w:id="0">
    <w:p w14:paraId="2F91AC79" w14:textId="77777777" w:rsidR="00326995" w:rsidRDefault="0032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F9E2" w14:textId="4A09E60F" w:rsidR="00B27CA5" w:rsidRDefault="0083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Intern</w:t>
    </w:r>
    <w:r>
      <w:rPr>
        <w:rFonts w:ascii="Arial" w:eastAsia="Arial" w:hAnsi="Arial" w:cs="Arial"/>
        <w:b/>
        <w:sz w:val="20"/>
        <w:szCs w:val="20"/>
      </w:rPr>
      <w:t xml:space="preserve">á smernica </w:t>
    </w:r>
    <w:proofErr w:type="spellStart"/>
    <w:r>
      <w:rPr>
        <w:rFonts w:ascii="Arial" w:eastAsia="Arial" w:hAnsi="Arial" w:cs="Arial"/>
        <w:b/>
        <w:sz w:val="20"/>
        <w:szCs w:val="20"/>
      </w:rPr>
      <w:t>RpV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 xml:space="preserve">č. </w:t>
    </w:r>
    <w:r>
      <w:rPr>
        <w:rFonts w:ascii="Arial" w:eastAsia="Arial" w:hAnsi="Arial" w:cs="Arial"/>
        <w:b/>
        <w:sz w:val="20"/>
        <w:szCs w:val="20"/>
      </w:rPr>
      <w:t>03</w:t>
    </w:r>
    <w:r>
      <w:rPr>
        <w:rFonts w:ascii="Arial" w:eastAsia="Arial" w:hAnsi="Arial" w:cs="Arial"/>
        <w:b/>
        <w:color w:val="000000"/>
        <w:sz w:val="20"/>
        <w:szCs w:val="20"/>
      </w:rPr>
      <w:t xml:space="preserve"> – </w:t>
    </w:r>
    <w:r>
      <w:rPr>
        <w:rFonts w:ascii="Arial" w:eastAsia="Arial" w:hAnsi="Arial" w:cs="Arial"/>
        <w:b/>
        <w:sz w:val="20"/>
        <w:szCs w:val="20"/>
      </w:rPr>
      <w:t>OBSAHOVÁ NÁPLŇ VODCOVSKEJ LESNEJ ŠKOLY A KOMPETENČNÝ PROFIL PRE HODNOSŤ VODCA</w:t>
    </w:r>
  </w:p>
  <w:p w14:paraId="5A2AF9EA" w14:textId="77777777" w:rsidR="00B27CA5" w:rsidRDefault="0083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verzia: 02</w:t>
    </w:r>
  </w:p>
  <w:p w14:paraId="3DC2634B" w14:textId="77777777" w:rsidR="00B27CA5" w:rsidRDefault="0083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Strana č.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2A641A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6568138E" w14:textId="77777777" w:rsidR="00B27CA5" w:rsidRDefault="00B27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0C2B" w14:textId="77777777" w:rsidR="00B27CA5" w:rsidRDefault="008345FB">
    <w:pPr>
      <w:tabs>
        <w:tab w:val="center" w:pos="5400"/>
        <w:tab w:val="left" w:pos="9238"/>
      </w:tabs>
      <w:spacing w:after="0"/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6F468A82" wp14:editId="003C8BC1">
          <wp:extent cx="3597275" cy="854075"/>
          <wp:effectExtent l="0" t="0" r="0" b="0"/>
          <wp:docPr id="2" name="image1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1B90D5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- ÚSTREDIE</w:t>
    </w:r>
  </w:p>
  <w:p w14:paraId="09901299" w14:textId="77777777" w:rsidR="00B27CA5" w:rsidRDefault="008345FB">
    <w:pPr>
      <w:spacing w:after="0"/>
      <w:ind w:right="-34"/>
      <w:jc w:val="center"/>
      <w:rPr>
        <w:sz w:val="16"/>
        <w:szCs w:val="16"/>
      </w:rPr>
    </w:pPr>
    <w:proofErr w:type="spellStart"/>
    <w:r>
      <w:rPr>
        <w:sz w:val="16"/>
        <w:szCs w:val="16"/>
      </w:rPr>
      <w:t>Mokrohájska</w:t>
    </w:r>
    <w:proofErr w:type="spellEnd"/>
    <w:r>
      <w:rPr>
        <w:sz w:val="16"/>
        <w:szCs w:val="16"/>
      </w:rPr>
      <w:t xml:space="preserve"> cesta 6, 841 04  Bratislava, Tel.: +421 - 2 - 44 640 154, e-mail: ustredie@skauting.sk</w:t>
    </w:r>
  </w:p>
  <w:p w14:paraId="77263B8A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 xml:space="preserve">Bankové spojenie: Tatra banka, </w:t>
    </w:r>
    <w:proofErr w:type="spellStart"/>
    <w:r>
      <w:rPr>
        <w:sz w:val="16"/>
        <w:szCs w:val="16"/>
      </w:rPr>
      <w:t>a.s</w:t>
    </w:r>
    <w:proofErr w:type="spellEnd"/>
    <w:r>
      <w:rPr>
        <w:sz w:val="16"/>
        <w:szCs w:val="16"/>
      </w:rPr>
      <w:t>. Bratislava, číslo účtu: 2660080180/1100, IČO: 00 598 721, DIČ: 2020795876</w:t>
    </w:r>
  </w:p>
  <w:p w14:paraId="10C713AC" w14:textId="77777777" w:rsidR="00B27CA5" w:rsidRDefault="008345F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www.skauting.sk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A4F"/>
    <w:multiLevelType w:val="multilevel"/>
    <w:tmpl w:val="9850C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C76884"/>
    <w:multiLevelType w:val="multilevel"/>
    <w:tmpl w:val="AD6690E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44281B"/>
    <w:multiLevelType w:val="multilevel"/>
    <w:tmpl w:val="BFEA1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8D5E53"/>
    <w:multiLevelType w:val="multilevel"/>
    <w:tmpl w:val="B302F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1240E8"/>
    <w:multiLevelType w:val="multilevel"/>
    <w:tmpl w:val="A97A4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DE4803"/>
    <w:multiLevelType w:val="multilevel"/>
    <w:tmpl w:val="C73A6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B757DD"/>
    <w:multiLevelType w:val="multilevel"/>
    <w:tmpl w:val="07FCB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ED17EE"/>
    <w:multiLevelType w:val="multilevel"/>
    <w:tmpl w:val="73FC1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8169BF"/>
    <w:multiLevelType w:val="multilevel"/>
    <w:tmpl w:val="2A7659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D1753C5"/>
    <w:multiLevelType w:val="multilevel"/>
    <w:tmpl w:val="CA26A4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5"/>
    <w:rsid w:val="000C1876"/>
    <w:rsid w:val="002A641A"/>
    <w:rsid w:val="00326995"/>
    <w:rsid w:val="004D3871"/>
    <w:rsid w:val="005B02D7"/>
    <w:rsid w:val="008345FB"/>
    <w:rsid w:val="008C3136"/>
    <w:rsid w:val="00A630F9"/>
    <w:rsid w:val="00B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6BF"/>
  <w15:docId w15:val="{178162CD-DE27-40E9-BB35-4B68593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C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3136"/>
  </w:style>
  <w:style w:type="paragraph" w:styleId="Pta">
    <w:name w:val="footer"/>
    <w:basedOn w:val="Normlny"/>
    <w:link w:val="PtaChar"/>
    <w:uiPriority w:val="99"/>
    <w:unhideWhenUsed/>
    <w:rsid w:val="008C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4122</Words>
  <Characters>24526</Characters>
  <Application>Microsoft Office Word</Application>
  <DocSecurity>0</DocSecurity>
  <Lines>445</Lines>
  <Paragraphs>158</Paragraphs>
  <ScaleCrop>false</ScaleCrop>
  <Company/>
  <LinksUpToDate>false</LinksUpToDate>
  <CharactersWithSpaces>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 Stehlik</cp:lastModifiedBy>
  <cp:revision>5</cp:revision>
  <dcterms:created xsi:type="dcterms:W3CDTF">2021-02-01T11:56:00Z</dcterms:created>
  <dcterms:modified xsi:type="dcterms:W3CDTF">2021-05-17T14:19:00Z</dcterms:modified>
</cp:coreProperties>
</file>